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C608BF" w:rsidP="00C608BF" w:rsidRDefault="00C608BF" w14:paraId="3E9669F6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8C0B8C" wp14:editId="17A3A6B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C608BF" w:rsidP="00C608BF" w:rsidRDefault="00C608BF" w14:paraId="2B6BEAF8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C608BF" w:rsidP="00C608BF" w:rsidRDefault="00C608BF" w14:paraId="6621F572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31st, 2024</w:t>
      </w:r>
    </w:p>
    <w:p w:rsidRPr="003E2C19" w:rsidR="00C608BF" w:rsidP="00C608BF" w:rsidRDefault="00C608BF" w14:paraId="3FD20FF3" w14:textId="0E9389D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02-01-4</w:t>
      </w:r>
      <w:r>
        <w:rPr>
          <w:rFonts w:ascii="Times New Roman" w:hAnsi="Times New Roman" w:cs="Times New Roman"/>
          <w:b/>
          <w:bCs/>
        </w:rPr>
        <w:t>4</w:t>
      </w:r>
    </w:p>
    <w:p w:rsidRPr="003C0245" w:rsidR="00C608BF" w:rsidP="00C608BF" w:rsidRDefault="00C608BF" w14:paraId="78BAA894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C608BF" w:rsidP="00C608BF" w:rsidRDefault="00C608BF" w14:paraId="2BE224A9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73530FDA">
          <v:line id="Straight Connector 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C608BF" w:rsidP="00C608BF" w:rsidRDefault="00C608BF" w14:paraId="1DA53AA4" w14:textId="77777777">
      <w:pPr>
        <w:rPr>
          <w:rFonts w:ascii="Times New Roman" w:hAnsi="Times New Roman" w:cs="Times New Roman"/>
          <w:i/>
          <w:iCs/>
        </w:rPr>
      </w:pPr>
    </w:p>
    <w:p w:rsidR="00C608BF" w:rsidP="00C608BF" w:rsidRDefault="00C608BF" w14:paraId="66C777D9" w14:textId="7412169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02-01-4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>
        <w:rPr>
          <w:rFonts w:ascii="Times New Roman" w:hAnsi="Times New Roman" w:cs="Times New Roman"/>
          <w:b/>
          <w:bCs/>
        </w:rPr>
        <w:t xml:space="preserve">Nadya Purnama </w:t>
      </w:r>
      <w:r>
        <w:rPr>
          <w:rFonts w:ascii="Times New Roman" w:hAnsi="Times New Roman" w:cs="Times New Roman"/>
          <w:b/>
          <w:bCs/>
        </w:rPr>
        <w:t xml:space="preserve">to the ASGBC Student Senate as </w:t>
      </w:r>
      <w:r>
        <w:rPr>
          <w:rFonts w:ascii="Times New Roman" w:hAnsi="Times New Roman" w:cs="Times New Roman"/>
          <w:b/>
          <w:bCs/>
        </w:rPr>
        <w:t>the Housing Senator f</w:t>
      </w:r>
      <w:r>
        <w:rPr>
          <w:rFonts w:ascii="Times New Roman" w:hAnsi="Times New Roman" w:cs="Times New Roman"/>
          <w:b/>
          <w:bCs/>
        </w:rPr>
        <w:t>or the 2024-2025 Academic Year</w:t>
      </w:r>
    </w:p>
    <w:p w:rsidRPr="003C0245" w:rsidR="00C608BF" w:rsidP="00C608BF" w:rsidRDefault="00C608BF" w14:paraId="0D4DAA9C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C608BF" w:rsidP="00C608BF" w:rsidRDefault="00C608BF" w14:paraId="7796CFED" w14:textId="06EDCB6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>
        <w:rPr>
          <w:rFonts w:ascii="Times New Roman" w:hAnsi="Times New Roman" w:cs="Times New Roman"/>
        </w:rPr>
        <w:t xml:space="preserve">Nadya Purnama </w:t>
      </w:r>
      <w:r>
        <w:rPr>
          <w:rFonts w:ascii="Times New Roman" w:hAnsi="Times New Roman" w:cs="Times New Roman"/>
        </w:rPr>
        <w:t xml:space="preserve">to serve as </w:t>
      </w:r>
      <w:r>
        <w:rPr>
          <w:rFonts w:ascii="Times New Roman" w:hAnsi="Times New Roman" w:cs="Times New Roman"/>
        </w:rPr>
        <w:t>the Housing Senator</w:t>
      </w:r>
      <w:r>
        <w:rPr>
          <w:rFonts w:ascii="Times New Roman" w:hAnsi="Times New Roman" w:cs="Times New Roman"/>
        </w:rPr>
        <w:t xml:space="preserve"> for the 2024-2025 academic year; and,</w:t>
      </w:r>
    </w:p>
    <w:p w:rsidRPr="00CC29CC" w:rsidR="00C608BF" w:rsidP="00C608BF" w:rsidRDefault="00C608BF" w14:paraId="6FB3AC3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C608BF" w:rsidP="00C608BF" w:rsidRDefault="00C608BF" w14:paraId="5AE269DC" w14:textId="2BA58807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Nadya Purnama’s</w:t>
      </w:r>
      <w:r>
        <w:rPr>
          <w:rFonts w:ascii="Times New Roman" w:hAnsi="Times New Roman" w:cs="Times New Roman"/>
        </w:rPr>
        <w:t xml:space="preserve"> ability </w:t>
      </w:r>
      <w:r w:rsidRPr="00CC29CC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serve as the Housing Senator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the ASGBC Student Senate,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C608BF" w:rsidP="00C608BF" w:rsidRDefault="00C608BF" w14:paraId="3B03F97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C608BF" w:rsidP="00C608BF" w:rsidRDefault="00C608BF" w14:paraId="2285E3DC" w14:textId="44AEE2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 xml:space="preserve">Nadya Purnama </w:t>
      </w:r>
      <w:r>
        <w:rPr>
          <w:rFonts w:ascii="Times New Roman" w:hAnsi="Times New Roman" w:cs="Times New Roman"/>
        </w:rPr>
        <w:t xml:space="preserve">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in the ASGBC Student Senate for the 2024-2025 academic year; and,</w:t>
      </w:r>
    </w:p>
    <w:p w:rsidR="00C608BF" w:rsidP="00C608BF" w:rsidRDefault="00C608BF" w14:paraId="0583270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C608BF" w:rsidP="00C608BF" w:rsidRDefault="00C608BF" w14:paraId="137DACB6" w14:textId="5D0103B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>Nadya Purnama’s</w:t>
      </w:r>
      <w:r>
        <w:rPr>
          <w:rFonts w:ascii="Times New Roman" w:hAnsi="Times New Roman" w:cs="Times New Roman"/>
        </w:rPr>
        <w:t xml:space="preserve">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C608BF" w:rsidP="00C608BF" w:rsidRDefault="00C608BF" w14:paraId="5757822E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C608BF" w:rsidP="00C608BF" w:rsidRDefault="00C608BF" w14:paraId="532A042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C608BF" w:rsidP="00C608BF" w:rsidRDefault="00C608BF" w14:paraId="0DEE96D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C608BF" w:rsidP="00C608BF" w:rsidRDefault="00C608BF" w14:paraId="151DE9A3" w14:textId="0428570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>
        <w:rPr>
          <w:rFonts w:ascii="Times New Roman" w:hAnsi="Times New Roman" w:cs="Times New Roman"/>
        </w:rPr>
        <w:t xml:space="preserve">Nadya Purnama </w:t>
      </w:r>
      <w:r>
        <w:rPr>
          <w:rFonts w:ascii="Times New Roman" w:hAnsi="Times New Roman" w:cs="Times New Roman"/>
        </w:rPr>
        <w:t>t</w:t>
      </w:r>
      <w:r w:rsidRPr="00CC29CC">
        <w:rPr>
          <w:rFonts w:ascii="Times New Roman" w:hAnsi="Times New Roman" w:cs="Times New Roman"/>
        </w:rPr>
        <w:t xml:space="preserve">o the </w:t>
      </w:r>
      <w:r w:rsidRPr="00CE0DA2">
        <w:rPr>
          <w:rFonts w:ascii="Times New Roman" w:hAnsi="Times New Roman" w:cs="Times New Roman"/>
        </w:rPr>
        <w:t xml:space="preserve">ASGBC Student Senate as the </w:t>
      </w:r>
      <w:r>
        <w:rPr>
          <w:rFonts w:ascii="Times New Roman" w:hAnsi="Times New Roman" w:cs="Times New Roman"/>
        </w:rPr>
        <w:t>Senator-At-Large</w:t>
      </w:r>
      <w:r w:rsidRPr="00CE0DA2">
        <w:rPr>
          <w:rFonts w:ascii="Times New Roman" w:hAnsi="Times New Roman" w:cs="Times New Roman"/>
        </w:rPr>
        <w:t xml:space="preserve"> for the 2024-2025 Academic Year</w:t>
      </w:r>
      <w:r>
        <w:rPr>
          <w:rFonts w:ascii="Times New Roman" w:hAnsi="Times New Roman" w:cs="Times New Roman"/>
        </w:rPr>
        <w:t>,</w:t>
      </w:r>
    </w:p>
    <w:p w:rsidR="00C608BF" w:rsidP="00C608BF" w:rsidRDefault="00C608BF" w14:paraId="3798CDC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C608BF" w:rsidP="00C608BF" w:rsidRDefault="00C608BF" w14:paraId="7C1B5B01" w14:textId="357ED77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>
        <w:rPr>
          <w:rFonts w:ascii="Times New Roman" w:hAnsi="Times New Roman" w:cs="Times New Roman"/>
        </w:rPr>
        <w:t>Nadya Purnama</w:t>
      </w:r>
      <w:r>
        <w:rPr>
          <w:rFonts w:ascii="Times New Roman" w:hAnsi="Times New Roman" w:cs="Times New Roman"/>
        </w:rPr>
        <w:t xml:space="preserve">, 2024-2025 </w:t>
      </w:r>
      <w:r>
        <w:rPr>
          <w:rFonts w:ascii="Times New Roman" w:hAnsi="Times New Roman" w:cs="Times New Roman"/>
        </w:rPr>
        <w:t>Housing Senator</w:t>
      </w:r>
      <w:r>
        <w:rPr>
          <w:rFonts w:ascii="Times New Roman" w:hAnsi="Times New Roman" w:cs="Times New Roman"/>
        </w:rPr>
        <w:t xml:space="preserve">; Daniel Ngoy, 2024-2025 ASGBC President; Daniella Salima, 2024-2025 ASGBC Vice President;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C608BF" w:rsidP="00C608BF" w:rsidRDefault="00C608BF" w14:paraId="407F1E0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5494079E">
          <v:rect id="_x0000_i1025" style="width:0;height:1.5pt" o:hr="t" o:hrstd="t" o:hralign="center" fillcolor="#a0a0a0" stroked="f"/>
        </w:pict>
      </w:r>
    </w:p>
    <w:p w:rsidR="00C608BF" w:rsidP="00C608BF" w:rsidRDefault="00C608BF" w14:paraId="67B03607" w14:textId="77777777" w14:noSpellErr="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0E7C2FD6" w:rsidR="00C608BF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0E7C2FD6" w:rsidP="0E7C2FD6" w:rsidRDefault="0E7C2FD6" w14:paraId="0D3C8333" w14:textId="67C0A211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E0770E3" w:rsidP="5E0770E3" w:rsidRDefault="5E0770E3" w14:paraId="05D99816" w14:textId="0AD55B6B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E0770E3" w:rsidP="5E0770E3" w:rsidRDefault="5E0770E3" w14:paraId="51D90475" w14:textId="666251CC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E0770E3" w:rsidP="5E0770E3" w:rsidRDefault="5E0770E3" w14:paraId="1B3ECAED" w14:textId="3804265D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E0770E3" w:rsidP="5E0770E3" w:rsidRDefault="5E0770E3" w14:paraId="2C408DF6" w14:textId="1F09FF8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E0770E3" w:rsidP="5E0770E3" w:rsidRDefault="5E0770E3" w14:paraId="1DA33BCD" w14:textId="1936827D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E0770E3" w:rsidP="5E0770E3" w:rsidRDefault="5E0770E3" w14:paraId="6078880E" w14:textId="3F49B87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E0770E3" w:rsidP="5E0770E3" w:rsidRDefault="5E0770E3" w14:paraId="4AFB9B93" w14:textId="3E1C5F31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0A47F0D" w:rsidP="0E7C2FD6" w:rsidRDefault="70A47F0D" w14:paraId="1396F76F" w14:textId="4A54CCFF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E7C2FD6" w:rsidR="70A47F0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02-01-44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E7C2FD6" w:rsidTr="0E7C2FD6" w14:paraId="27ECAA8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E7C2FD6" w:rsidP="0E7C2FD6" w:rsidRDefault="0E7C2FD6" w14:paraId="17A28E43" w14:textId="099C76B2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0E7C2FD6">
              <w:drawing>
                <wp:inline wp14:editId="1B6250CB" wp14:anchorId="2C4EA05A">
                  <wp:extent cx="2828925" cy="685800"/>
                  <wp:effectExtent l="0" t="0" r="0" b="0"/>
                  <wp:docPr id="779826959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52321d06e3342f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E7C2FD6" w:rsidP="0E7C2FD6" w:rsidRDefault="0E7C2FD6" w14:paraId="2D21AB20" w14:textId="711D7D51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0E7C2FD6" w:rsidR="0E7C2FD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0E7C2FD6" w:rsidTr="0E7C2FD6" w14:paraId="4C380EB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E7C2FD6" w:rsidP="0E7C2FD6" w:rsidRDefault="0E7C2FD6" w14:paraId="1C6692AD" w14:textId="09348294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E7C2FD6" w:rsidR="0E7C2FD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0E7C2FD6" w:rsidP="0E7C2FD6" w:rsidRDefault="0E7C2FD6" w14:paraId="1A8FC474" w14:textId="1B5D0892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E7C2FD6" w:rsidR="0E7C2FD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0E7C2FD6" w:rsidP="0E7C2FD6" w:rsidRDefault="0E7C2FD6" w14:paraId="2B475D47" w14:textId="0058D75B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E7C2FD6" w:rsidP="0E7C2FD6" w:rsidRDefault="0E7C2FD6" w14:paraId="4AF741B9" w14:textId="1C38032C">
      <w:pPr>
        <w:spacing w:after="0" w:line="480" w:lineRule="auto"/>
        <w:ind w:firstLine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E7C2FD6" w:rsidP="0E7C2FD6" w:rsidRDefault="0E7C2FD6" w14:paraId="4F8AA8BC" w14:textId="2C6E49E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C608BF" w:rsidP="00C608BF" w:rsidRDefault="00C608BF" w14:paraId="6E15A6EC" w14:textId="77777777"/>
    <w:p w:rsidRPr="00C608BF" w:rsidR="00461C30" w:rsidP="00C608BF" w:rsidRDefault="00461C30" w14:paraId="4FB199A7" w14:textId="77777777"/>
    <w:sectPr w:rsidRPr="00C608BF"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8BF"/>
    <w:rsid w:val="000F6310"/>
    <w:rsid w:val="00461C30"/>
    <w:rsid w:val="009B1555"/>
    <w:rsid w:val="00C608BF"/>
    <w:rsid w:val="00ED2152"/>
    <w:rsid w:val="0E7C2FD6"/>
    <w:rsid w:val="5E0770E3"/>
    <w:rsid w:val="70A4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94637E"/>
  <w15:chartTrackingRefBased/>
  <w15:docId w15:val="{7850BBE9-0C53-481A-85E5-79FD16A3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08BF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608BF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608BF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608B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608B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608B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60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8B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608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6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8B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608B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8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8BF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608BF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8BF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f52321d06e3342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61B45E-51D4-4848-B967-35A119442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AAD7C-1B6F-4543-9D94-95F0C78FA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306B2-20F7-4570-9833-596D2C731B27}">
  <ds:schemaRefs>
    <ds:schemaRef ds:uri="http://schemas.microsoft.com/office/infopath/2007/PartnerControls"/>
    <ds:schemaRef ds:uri="http://purl.org/dc/elements/1.1/"/>
    <ds:schemaRef ds:uri="6ccb3c31-e11d-45be-b4e6-9db1d4cf2fb8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42a0673-c9c2-4b76-a955-b35cd1e8a748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2024-05-30T23:47:00.0000000Z</dcterms:created>
  <dcterms:modified xsi:type="dcterms:W3CDTF">2024-06-17T19:48:54.5138520Z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